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16324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>
        <w:rPr>
          <w:bCs/>
          <w:sz w:val="28"/>
          <w:szCs w:val="24"/>
          <w:lang w:eastAsia="x-none"/>
        </w:rPr>
        <w:t xml:space="preserve"> 86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16324D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6324D">
        <w:rPr>
          <w:kern w:val="2"/>
          <w:sz w:val="28"/>
          <w:szCs w:val="28"/>
        </w:rPr>
        <w:t xml:space="preserve"> 86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>за 1-е полугодие 2020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2020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2020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0737" w:rsidRDefault="008D0737" w:rsidP="00537ECA">
      <w:r>
        <w:separator/>
      </w:r>
    </w:p>
  </w:endnote>
  <w:endnote w:type="continuationSeparator" w:id="0">
    <w:p w:rsidR="008D0737" w:rsidRDefault="008D073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0737" w:rsidRDefault="008D0737" w:rsidP="00537ECA">
      <w:r>
        <w:separator/>
      </w:r>
    </w:p>
  </w:footnote>
  <w:footnote w:type="continuationSeparator" w:id="0">
    <w:p w:rsidR="008D0737" w:rsidRDefault="008D073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75174"/>
    <w:rsid w:val="003755B4"/>
    <w:rsid w:val="00395C10"/>
    <w:rsid w:val="003A588D"/>
    <w:rsid w:val="003A6613"/>
    <w:rsid w:val="003C45CD"/>
    <w:rsid w:val="003D6358"/>
    <w:rsid w:val="003D74D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B73B7"/>
    <w:rsid w:val="006C5F06"/>
    <w:rsid w:val="00721E00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C7238D-35FC-45E2-A430-C02A5F29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383D-B8AE-4096-8732-5F7FD903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